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D4" w:rsidRPr="006F03BA" w:rsidRDefault="003571D4" w:rsidP="006F03BA">
      <w:pPr>
        <w:spacing w:after="120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6F03BA">
        <w:rPr>
          <w:rFonts w:ascii="Arial" w:hAnsi="Arial" w:cs="Arial"/>
          <w:sz w:val="20"/>
          <w:szCs w:val="20"/>
          <w:lang w:val="sr-Cyrl-CS"/>
        </w:rPr>
        <w:t>На основу решења Привредног суда у Београду 3.Ст.3835/2011 од 23.12.2011. године,</w:t>
      </w:r>
      <w:r w:rsidRPr="006F03BA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="007B6D75" w:rsidRPr="006F03BA">
        <w:rPr>
          <w:rFonts w:ascii="Arial" w:hAnsi="Arial" w:cs="Arial"/>
          <w:sz w:val="20"/>
          <w:szCs w:val="20"/>
          <w:lang w:val="sr-Cyrl-RS"/>
        </w:rPr>
        <w:t>Решења</w:t>
      </w:r>
      <w:r w:rsidRPr="006F03BA">
        <w:rPr>
          <w:rFonts w:ascii="Arial" w:hAnsi="Arial" w:cs="Arial"/>
          <w:sz w:val="20"/>
          <w:szCs w:val="20"/>
          <w:lang w:val="sr-Cyrl-CS"/>
        </w:rPr>
        <w:t xml:space="preserve"> стечајног судије Привредног суда у Београду 3.Ст.3835/2011 од 23.03.2012. године, у складу са чланoвима 131., 132. и 133. Закона о стечају («</w:t>
      </w:r>
      <w:r w:rsidRPr="006F03BA">
        <w:rPr>
          <w:rFonts w:ascii="Arial" w:hAnsi="Arial" w:cs="Arial"/>
          <w:i/>
          <w:sz w:val="20"/>
          <w:szCs w:val="20"/>
          <w:lang w:val="sr-Cyrl-CS"/>
        </w:rPr>
        <w:t>Службени гласник  Републике Србије» број 104/2009</w:t>
      </w:r>
      <w:r w:rsidRPr="006F03BA">
        <w:rPr>
          <w:rFonts w:ascii="Arial" w:hAnsi="Arial" w:cs="Arial"/>
          <w:sz w:val="20"/>
          <w:szCs w:val="20"/>
          <w:lang w:val="sr-Cyrl-CS"/>
        </w:rPr>
        <w:t>) и Националним стандардом број 5 о начину и поступку уновчења имовине стечајног дужника («</w:t>
      </w:r>
      <w:r w:rsidRPr="006F03BA">
        <w:rPr>
          <w:rFonts w:ascii="Arial" w:hAnsi="Arial" w:cs="Arial"/>
          <w:i/>
          <w:sz w:val="20"/>
          <w:szCs w:val="20"/>
          <w:lang w:val="sr-Cyrl-CS"/>
        </w:rPr>
        <w:t>Службени гласник Републике Србије» број 13/2010.</w:t>
      </w:r>
      <w:r w:rsidRPr="006F03BA">
        <w:rPr>
          <w:rFonts w:ascii="Arial" w:hAnsi="Arial" w:cs="Arial"/>
          <w:sz w:val="20"/>
          <w:szCs w:val="20"/>
          <w:lang w:val="sr-Cyrl-CS"/>
        </w:rPr>
        <w:t>),</w:t>
      </w:r>
      <w:r w:rsidR="007B6D75" w:rsidRPr="006F03BA">
        <w:rPr>
          <w:rFonts w:ascii="Arial" w:hAnsi="Arial" w:cs="Arial"/>
          <w:sz w:val="20"/>
          <w:szCs w:val="20"/>
          <w:lang w:val="sr-Cyrl-CS"/>
        </w:rPr>
        <w:t xml:space="preserve"> као и на основу </w:t>
      </w:r>
      <w:r w:rsidR="007B6D75" w:rsidRPr="006F03BA">
        <w:rPr>
          <w:rFonts w:ascii="Arial" w:hAnsi="Arial" w:cs="Arial"/>
          <w:sz w:val="20"/>
          <w:szCs w:val="20"/>
          <w:lang w:val="sr-Cyrl-CS"/>
        </w:rPr>
        <w:t>Закон</w:t>
      </w:r>
      <w:r w:rsidR="007B6D75" w:rsidRPr="006F03BA">
        <w:rPr>
          <w:rFonts w:ascii="Arial" w:hAnsi="Arial" w:cs="Arial"/>
          <w:sz w:val="20"/>
          <w:szCs w:val="20"/>
          <w:lang w:val="sr-Cyrl-CS"/>
        </w:rPr>
        <w:t>а</w:t>
      </w:r>
      <w:r w:rsidR="007B6D75" w:rsidRPr="006F03BA">
        <w:rPr>
          <w:rFonts w:ascii="Arial" w:hAnsi="Arial" w:cs="Arial"/>
          <w:sz w:val="20"/>
          <w:szCs w:val="20"/>
          <w:lang w:val="sr-Cyrl-CS"/>
        </w:rPr>
        <w:t xml:space="preserve"> о изменама и допунама Закона о Агенцији за лиценцирање стечајних управника (,,Службени гласник РС“, бр. 89/2015)</w:t>
      </w:r>
      <w:bookmarkStart w:id="0" w:name="_GoBack"/>
      <w:bookmarkEnd w:id="0"/>
      <w:r w:rsidR="007B6D75" w:rsidRPr="006F03BA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03BA">
        <w:rPr>
          <w:rFonts w:ascii="Arial" w:hAnsi="Arial" w:cs="Arial"/>
          <w:sz w:val="20"/>
          <w:szCs w:val="20"/>
          <w:lang w:val="sr-Cyrl-CS"/>
        </w:rPr>
        <w:t>стечајни управник стечајног дужника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571D4" w:rsidRPr="00B54AB3" w:rsidRDefault="003571D4" w:rsidP="003571D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54AB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54AB3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7C395B" w:rsidRPr="00B00588"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r w:rsidRPr="00B00588">
        <w:rPr>
          <w:rFonts w:ascii="Arial" w:hAnsi="Arial" w:cs="Arial"/>
          <w:b/>
          <w:bCs/>
          <w:sz w:val="22"/>
          <w:szCs w:val="22"/>
          <w:lang w:val="sr-Cyrl-CS"/>
        </w:rPr>
        <w:t>НЕРЕТВАНКА</w:t>
      </w:r>
      <w:r w:rsidR="007C395B" w:rsidRPr="00B00588">
        <w:rPr>
          <w:rFonts w:ascii="Arial" w:hAnsi="Arial" w:cs="Arial"/>
          <w:b/>
          <w:bCs/>
          <w:sz w:val="22"/>
          <w:szCs w:val="22"/>
          <w:lang w:val="sr-Cyrl-CS"/>
        </w:rPr>
        <w:t>“</w:t>
      </w:r>
      <w:r w:rsidRPr="00B00588">
        <w:rPr>
          <w:rFonts w:ascii="Arial" w:hAnsi="Arial" w:cs="Arial"/>
          <w:b/>
          <w:bCs/>
          <w:sz w:val="22"/>
          <w:szCs w:val="22"/>
          <w:lang w:val="sr-Cyrl-CS"/>
        </w:rPr>
        <w:t xml:space="preserve"> ДП - у стечају</w:t>
      </w:r>
      <w:r w:rsidRPr="00B00588">
        <w:rPr>
          <w:rFonts w:ascii="Arial" w:hAnsi="Arial" w:cs="Arial"/>
          <w:b/>
          <w:sz w:val="22"/>
          <w:szCs w:val="22"/>
          <w:lang w:val="sr-Cyrl-CS"/>
        </w:rPr>
        <w:t xml:space="preserve"> из Београда, ул. </w:t>
      </w:r>
      <w:r w:rsidRPr="00B00588">
        <w:rPr>
          <w:rFonts w:ascii="Arial" w:hAnsi="Arial" w:cs="Arial"/>
          <w:b/>
          <w:bCs/>
          <w:sz w:val="22"/>
          <w:szCs w:val="22"/>
          <w:lang w:val="sr-Cyrl-CS"/>
        </w:rPr>
        <w:t>Теразије 34</w:t>
      </w:r>
    </w:p>
    <w:p w:rsidR="003571D4" w:rsidRPr="00B54AB3" w:rsidRDefault="003571D4" w:rsidP="003571D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571D4" w:rsidRPr="00B54AB3" w:rsidRDefault="003571D4" w:rsidP="003571D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571D4" w:rsidRPr="00B54AB3" w:rsidRDefault="003571D4" w:rsidP="003571D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54AB3">
        <w:rPr>
          <w:rFonts w:ascii="Arial" w:hAnsi="Arial" w:cs="Arial"/>
          <w:b/>
          <w:sz w:val="22"/>
          <w:szCs w:val="22"/>
          <w:lang w:val="sr-Cyrl-CS"/>
        </w:rPr>
        <w:t>ОГЛАШАВА</w:t>
      </w:r>
    </w:p>
    <w:p w:rsidR="003571D4" w:rsidRPr="00B54AB3" w:rsidRDefault="003571D4" w:rsidP="003571D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54AB3">
        <w:rPr>
          <w:rFonts w:ascii="Arial" w:hAnsi="Arial" w:cs="Arial"/>
          <w:b/>
          <w:sz w:val="22"/>
          <w:szCs w:val="22"/>
          <w:lang w:val="sr-Cyrl-CS"/>
        </w:rPr>
        <w:t xml:space="preserve">продају </w:t>
      </w:r>
      <w:r w:rsidR="00BC49E5" w:rsidRPr="00B54AB3">
        <w:rPr>
          <w:rFonts w:ascii="Arial" w:hAnsi="Arial" w:cs="Arial"/>
          <w:b/>
          <w:sz w:val="22"/>
          <w:szCs w:val="22"/>
          <w:lang w:val="sr-Cyrl-CS"/>
        </w:rPr>
        <w:t xml:space="preserve">покретне </w:t>
      </w:r>
      <w:r w:rsidRPr="00B54AB3">
        <w:rPr>
          <w:rFonts w:ascii="Arial" w:hAnsi="Arial" w:cs="Arial"/>
          <w:b/>
          <w:sz w:val="22"/>
          <w:szCs w:val="22"/>
          <w:lang w:val="sr-Cyrl-CS"/>
        </w:rPr>
        <w:t>имовине јавним надметањем</w:t>
      </w:r>
    </w:p>
    <w:p w:rsidR="003571D4" w:rsidRPr="0032050F" w:rsidRDefault="003571D4" w:rsidP="003571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3571D4" w:rsidRPr="005E6CA1" w:rsidRDefault="003571D4" w:rsidP="003571D4">
      <w:pPr>
        <w:ind w:left="27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5E6CA1">
        <w:rPr>
          <w:rFonts w:ascii="Arial" w:hAnsi="Arial" w:cs="Arial"/>
          <w:b/>
          <w:sz w:val="20"/>
          <w:szCs w:val="20"/>
          <w:lang w:val="sr-Cyrl-CS"/>
        </w:rPr>
        <w:t>Предмет продаје</w:t>
      </w:r>
      <w:r w:rsidR="005E6CA1" w:rsidRPr="005E6CA1">
        <w:rPr>
          <w:rFonts w:ascii="Arial" w:hAnsi="Arial" w:cs="Arial"/>
          <w:b/>
          <w:sz w:val="20"/>
          <w:szCs w:val="20"/>
          <w:lang w:val="sr-Cyrl-CS"/>
        </w:rPr>
        <w:t>:</w:t>
      </w:r>
      <w:r w:rsidRPr="005E6CA1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3571D4" w:rsidRPr="0032050F" w:rsidRDefault="003571D4" w:rsidP="003571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08"/>
        <w:gridCol w:w="5859"/>
        <w:gridCol w:w="1422"/>
        <w:gridCol w:w="1465"/>
      </w:tblGrid>
      <w:tr w:rsidR="001B3AF2" w:rsidRPr="0032050F" w:rsidTr="00B524D5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3571D4" w:rsidRPr="0032050F" w:rsidRDefault="003571D4" w:rsidP="00B524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Ред.</w:t>
            </w:r>
          </w:p>
          <w:p w:rsidR="003571D4" w:rsidRPr="0032050F" w:rsidRDefault="003571D4" w:rsidP="00B524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71D4" w:rsidRPr="0032050F" w:rsidRDefault="003571D4" w:rsidP="00B524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71D4" w:rsidRPr="0032050F" w:rsidRDefault="003571D4" w:rsidP="00B524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Почетна цена (дин.)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71D4" w:rsidRPr="0032050F" w:rsidRDefault="003571D4" w:rsidP="00B524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Износ депозита (дин.)</w:t>
            </w:r>
          </w:p>
        </w:tc>
      </w:tr>
      <w:tr w:rsidR="001B3AF2" w:rsidRPr="0032050F" w:rsidTr="00B524D5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3571D4" w:rsidRPr="009A31B2" w:rsidRDefault="003571D4" w:rsidP="00B52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9A31B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ЦЕЛИНА 1</w:t>
            </w:r>
          </w:p>
        </w:tc>
        <w:tc>
          <w:tcPr>
            <w:tcW w:w="0" w:type="auto"/>
            <w:shd w:val="clear" w:color="auto" w:fill="FFFFFF"/>
            <w:hideMark/>
          </w:tcPr>
          <w:p w:rsidR="00BA3910" w:rsidRPr="0032050F" w:rsidRDefault="00BA3910" w:rsidP="00B524D5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3571D4" w:rsidRPr="001B3AF2" w:rsidRDefault="001B3AF2" w:rsidP="001B3A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3AF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</w:t>
            </w:r>
            <w:r w:rsidR="004532B0" w:rsidRPr="001B3AF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ословни објекат</w:t>
            </w:r>
            <w:r w:rsidRPr="001B3AF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r-Cyrl-CS"/>
              </w:rPr>
              <w:t xml:space="preserve"> монтажни објекат </w:t>
            </w:r>
            <w:r w:rsidR="00E441B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који се налази</w:t>
            </w:r>
            <w:r w:rsidR="004532B0" w:rsidRPr="001B3AF2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="003571D4" w:rsidRPr="001B3AF2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у Београду, </w:t>
            </w:r>
            <w:r w:rsidR="003571D4" w:rsidRPr="001B3AF2">
              <w:rPr>
                <w:rFonts w:ascii="Arial" w:hAnsi="Arial" w:cs="Arial"/>
                <w:sz w:val="20"/>
                <w:szCs w:val="20"/>
                <w:lang w:val="sr-Cyrl-CS"/>
              </w:rPr>
              <w:t>ул. Вилине Воде бб, к.п. 14/1 КО Палилула</w:t>
            </w:r>
            <w:r w:rsidR="002752C9" w:rsidRPr="001B3AF2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4F770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бруто површине 72,00 м</w:t>
            </w:r>
            <w:r w:rsidR="004F770D">
              <w:rPr>
                <w:rFonts w:ascii="Arial" w:hAnsi="Arial" w:cs="Arial"/>
                <w:sz w:val="20"/>
                <w:szCs w:val="20"/>
                <w:vertAlign w:val="superscript"/>
                <w:lang w:val="sr-Latn-RS"/>
              </w:rPr>
              <w:t>2</w:t>
            </w:r>
            <w:r w:rsidR="004532B0" w:rsidRPr="001B3A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4532B0" w:rsidRPr="001B3AF2">
              <w:rPr>
                <w:rFonts w:ascii="Arial" w:hAnsi="Arial" w:cs="Arial"/>
                <w:sz w:val="20"/>
                <w:szCs w:val="20"/>
                <w:lang w:val="sr-Cyrl-CS"/>
              </w:rPr>
              <w:t>и опрема у објекту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према спецификацији из продајне документације.</w:t>
            </w:r>
          </w:p>
          <w:p w:rsidR="00BA3910" w:rsidRPr="0032050F" w:rsidRDefault="00BA3910" w:rsidP="00B524D5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71D4" w:rsidRPr="0032050F" w:rsidRDefault="004532B0" w:rsidP="00B52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331</w:t>
            </w:r>
            <w:r w:rsidR="003571D4" w:rsidRPr="0032050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.169,00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71D4" w:rsidRPr="0032050F" w:rsidRDefault="004532B0" w:rsidP="00B52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2050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132.4</w:t>
            </w:r>
            <w:r w:rsidR="003571D4" w:rsidRPr="0032050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67,60</w:t>
            </w:r>
          </w:p>
        </w:tc>
      </w:tr>
    </w:tbl>
    <w:p w:rsidR="003571D4" w:rsidRDefault="003571D4" w:rsidP="003571D4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3800B4" w:rsidRPr="0032050F" w:rsidRDefault="003800B4" w:rsidP="003571D4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Право на учешће имају сва правна  и физичка лица која:</w:t>
      </w:r>
    </w:p>
    <w:p w:rsidR="003571D4" w:rsidRPr="0032050F" w:rsidRDefault="003571D4" w:rsidP="003571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5A4E84" w:rsidRPr="0032050F">
        <w:rPr>
          <w:rFonts w:ascii="Arial" w:hAnsi="Arial" w:cs="Arial"/>
          <w:b/>
          <w:sz w:val="20"/>
          <w:szCs w:val="20"/>
          <w:lang w:val="sr-Cyrl-CS"/>
        </w:rPr>
        <w:t>5.000,00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 xml:space="preserve"> динара</w:t>
      </w:r>
      <w:r w:rsidRPr="0032050F">
        <w:rPr>
          <w:rFonts w:ascii="Arial" w:hAnsi="Arial" w:cs="Arial"/>
          <w:sz w:val="20"/>
          <w:szCs w:val="20"/>
          <w:lang w:val="sr-Cyrl-CS"/>
        </w:rPr>
        <w:t>.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Профактура се може преузети сваког радног дана у периоду од 9:00 до 15:00 часова уз обавезну најаву поверенику стечајног управника. Рок за откуп продајне документације истиче закључно са </w:t>
      </w:r>
      <w:bookmarkStart w:id="1" w:name="_Hlk485730758"/>
      <w:r w:rsidR="00BA3910" w:rsidRPr="0032050F">
        <w:rPr>
          <w:rFonts w:ascii="Arial" w:hAnsi="Arial" w:cs="Arial"/>
          <w:b/>
          <w:sz w:val="20"/>
          <w:szCs w:val="20"/>
          <w:lang w:val="sr-Latn-RS"/>
        </w:rPr>
        <w:t>21.07.2017.</w:t>
      </w:r>
      <w:r w:rsidR="00BA3910" w:rsidRPr="0032050F">
        <w:rPr>
          <w:rFonts w:ascii="Arial" w:hAnsi="Arial" w:cs="Arial"/>
          <w:sz w:val="20"/>
          <w:szCs w:val="20"/>
          <w:lang w:val="sr-Cyrl-RS"/>
        </w:rPr>
        <w:t xml:space="preserve"> </w:t>
      </w:r>
      <w:bookmarkEnd w:id="1"/>
      <w:r w:rsidR="00BA3910" w:rsidRPr="0032050F">
        <w:rPr>
          <w:rFonts w:ascii="Arial" w:hAnsi="Arial" w:cs="Arial"/>
          <w:sz w:val="20"/>
          <w:szCs w:val="20"/>
          <w:lang w:val="sr-Cyrl-RS"/>
        </w:rPr>
        <w:t>године;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2050F" w:rsidRPr="0032050F" w:rsidRDefault="003571D4" w:rsidP="003571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 xml:space="preserve">уплате </w:t>
      </w:r>
      <w:r w:rsidRPr="0032050F">
        <w:rPr>
          <w:rFonts w:ascii="Arial" w:hAnsi="Arial" w:cs="Arial"/>
          <w:b/>
          <w:bCs/>
          <w:sz w:val="20"/>
          <w:szCs w:val="20"/>
          <w:lang w:val="sr-Cyrl-CS"/>
        </w:rPr>
        <w:t>депозит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у означеном износу, на текући рачун стечајног дужника број: </w:t>
      </w:r>
      <w:r w:rsidRPr="0032050F">
        <w:rPr>
          <w:rFonts w:ascii="Arial" w:hAnsi="Arial" w:cs="Arial"/>
          <w:b/>
          <w:bCs/>
          <w:sz w:val="20"/>
          <w:szCs w:val="20"/>
          <w:lang w:val="sr-Cyrl-CS"/>
        </w:rPr>
        <w:t>205-204926-96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 xml:space="preserve"> код </w:t>
      </w:r>
      <w:r w:rsidR="0032050F">
        <w:rPr>
          <w:rFonts w:ascii="Arial" w:hAnsi="Arial" w:cs="Arial"/>
          <w:b/>
          <w:sz w:val="20"/>
          <w:szCs w:val="20"/>
          <w:lang w:val="sr-Cyrl-CS"/>
        </w:rPr>
        <w:t>„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Комерцијалне банке</w:t>
      </w:r>
      <w:r w:rsidR="0032050F">
        <w:rPr>
          <w:rFonts w:ascii="Arial" w:hAnsi="Arial" w:cs="Arial"/>
          <w:b/>
          <w:sz w:val="20"/>
          <w:szCs w:val="20"/>
          <w:lang w:val="sr-Cyrl-CS"/>
        </w:rPr>
        <w:t>“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 xml:space="preserve"> а.д. Београд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5 радних дана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пре одржавања продаје (рок за уплату депозита истиче закључно са </w:t>
      </w:r>
      <w:r w:rsidR="00BA3910" w:rsidRPr="0032050F">
        <w:rPr>
          <w:rFonts w:ascii="Arial" w:hAnsi="Arial" w:cs="Arial"/>
          <w:b/>
          <w:sz w:val="20"/>
          <w:szCs w:val="20"/>
          <w:lang w:val="sr-Latn-RS"/>
        </w:rPr>
        <w:t>21.07.2017.</w:t>
      </w:r>
      <w:r w:rsidR="00BA3910" w:rsidRPr="0032050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године). У случају да се као депозит положи првокласна банкарска гаранција, оригинал исте се ради провере </w:t>
      </w:r>
      <w:r w:rsidR="005A4E84" w:rsidRPr="0032050F">
        <w:rPr>
          <w:rFonts w:ascii="Arial" w:hAnsi="Arial" w:cs="Arial"/>
          <w:sz w:val="20"/>
          <w:szCs w:val="20"/>
          <w:lang w:val="sr-Cyrl-CS"/>
        </w:rPr>
        <w:t>искључиво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лично мора доставити служби финансија Агенције за лиценцирање стечајних управника </w:t>
      </w:r>
      <w:r w:rsidR="005A4E84" w:rsidRPr="0032050F">
        <w:rPr>
          <w:rFonts w:ascii="Arial" w:hAnsi="Arial" w:cs="Arial"/>
          <w:sz w:val="20"/>
          <w:szCs w:val="20"/>
          <w:lang w:val="sr-Cyrl-CS"/>
        </w:rPr>
        <w:t>Теразије 23, VI спрат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, Београд, закључно са </w:t>
      </w:r>
      <w:r w:rsidR="00BA3910" w:rsidRPr="0032050F">
        <w:rPr>
          <w:rFonts w:ascii="Arial" w:hAnsi="Arial" w:cs="Arial"/>
          <w:b/>
          <w:sz w:val="20"/>
          <w:szCs w:val="20"/>
          <w:lang w:val="sr-Latn-RS"/>
        </w:rPr>
        <w:t>21.07.2017.</w:t>
      </w:r>
      <w:r w:rsidR="00BA3910" w:rsidRPr="0032050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године до 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15:00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часова по београдском времену </w:t>
      </w:r>
      <w:r w:rsidRPr="0032050F">
        <w:rPr>
          <w:rFonts w:ascii="Arial" w:hAnsi="Arial" w:cs="Arial"/>
          <w:bCs/>
          <w:sz w:val="20"/>
          <w:szCs w:val="20"/>
          <w:lang w:val="sr-Cyrl-CS"/>
        </w:rPr>
        <w:t>(GMT+1)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. Банкарска гаранција мора имати 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 xml:space="preserve">рок важења до </w:t>
      </w:r>
      <w:r w:rsidR="00BA3910" w:rsidRPr="0032050F">
        <w:rPr>
          <w:rFonts w:ascii="Arial" w:hAnsi="Arial" w:cs="Arial"/>
          <w:b/>
          <w:sz w:val="20"/>
          <w:szCs w:val="20"/>
          <w:lang w:val="sr-Cyrl-CS"/>
        </w:rPr>
        <w:t>25.08.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2017. године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32050F" w:rsidRPr="0032050F">
        <w:rPr>
          <w:rFonts w:ascii="Arial" w:hAnsi="Arial" w:cs="Arial"/>
          <w:sz w:val="20"/>
          <w:szCs w:val="20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</w:p>
    <w:p w:rsidR="0032050F" w:rsidRPr="0032050F" w:rsidRDefault="0032050F" w:rsidP="0032050F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3571D4" w:rsidRPr="0032050F" w:rsidRDefault="003571D4" w:rsidP="003571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Потпишу Изјаву о губитку права на враћање депозита; изјава чини саставни део продајне документације.</w:t>
      </w:r>
    </w:p>
    <w:p w:rsidR="003571D4" w:rsidRPr="0032050F" w:rsidRDefault="003571D4" w:rsidP="003571D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 сваким радним даном од 09:00 до 14:00</w:t>
      </w:r>
      <w:r w:rsidRPr="0032050F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 </w:t>
      </w:r>
      <w:r w:rsidRPr="0032050F">
        <w:rPr>
          <w:rFonts w:ascii="Arial" w:hAnsi="Arial" w:cs="Arial"/>
          <w:sz w:val="20"/>
          <w:szCs w:val="20"/>
          <w:lang w:val="sr-Cyrl-CS"/>
        </w:rPr>
        <w:t>часова уз претходну најаву поверенику стечајног управника.</w:t>
      </w:r>
    </w:p>
    <w:p w:rsidR="002F7B0E" w:rsidRPr="0032050F" w:rsidRDefault="002F7B0E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Након уплате депозита</w:t>
      </w:r>
      <w:r w:rsidR="002F7B0E" w:rsidRPr="0032050F">
        <w:rPr>
          <w:rFonts w:ascii="Arial" w:hAnsi="Arial" w:cs="Arial"/>
          <w:sz w:val="20"/>
          <w:szCs w:val="20"/>
          <w:lang w:val="sr-Cyrl-CS"/>
        </w:rPr>
        <w:t>,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а најкасније закључно са </w:t>
      </w:r>
      <w:r w:rsidR="002F7B0E" w:rsidRPr="0032050F">
        <w:rPr>
          <w:rFonts w:ascii="Arial" w:hAnsi="Arial" w:cs="Arial"/>
          <w:b/>
          <w:sz w:val="20"/>
          <w:szCs w:val="20"/>
          <w:lang w:val="sr-Latn-RS"/>
        </w:rPr>
        <w:t>21.07.2017.</w:t>
      </w:r>
      <w:r w:rsidR="002F7B0E" w:rsidRPr="0032050F">
        <w:rPr>
          <w:rFonts w:ascii="Arial" w:hAnsi="Arial" w:cs="Arial"/>
          <w:sz w:val="20"/>
          <w:szCs w:val="20"/>
          <w:lang w:val="sr-Cyrl-RS"/>
        </w:rPr>
        <w:t xml:space="preserve"> године</w:t>
      </w:r>
      <w:r w:rsidRPr="0032050F">
        <w:rPr>
          <w:rFonts w:ascii="Arial" w:hAnsi="Arial" w:cs="Arial"/>
          <w:sz w:val="20"/>
          <w:szCs w:val="20"/>
          <w:lang w:val="sr-Cyrl-CS"/>
        </w:rPr>
        <w:t>, потенцијални купци, ради правовремене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</w:t>
      </w:r>
      <w:r w:rsidR="002F7B0E" w:rsidRPr="0032050F">
        <w:rPr>
          <w:rFonts w:ascii="Arial" w:hAnsi="Arial" w:cs="Arial"/>
          <w:sz w:val="20"/>
          <w:szCs w:val="20"/>
          <w:lang w:val="sr-Cyrl-CS"/>
        </w:rPr>
        <w:t xml:space="preserve"> (оверено)</w:t>
      </w:r>
      <w:r w:rsidRPr="0032050F">
        <w:rPr>
          <w:rFonts w:ascii="Arial" w:hAnsi="Arial" w:cs="Arial"/>
          <w:sz w:val="20"/>
          <w:szCs w:val="20"/>
          <w:lang w:val="sr-Cyrl-CS"/>
        </w:rPr>
        <w:t>, уколико на јавном надметању не присуствује потенцијални купац лично (за физичка лица) или законски заступник (за правна лица).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 xml:space="preserve">Јавно надметање одржаће се дана </w:t>
      </w:r>
      <w:r w:rsidR="004C35CF" w:rsidRPr="0032050F">
        <w:rPr>
          <w:rFonts w:ascii="Arial" w:hAnsi="Arial" w:cs="Arial"/>
          <w:b/>
          <w:sz w:val="20"/>
          <w:szCs w:val="20"/>
          <w:lang w:val="sr-Latn-RS"/>
        </w:rPr>
        <w:t>28.07.2017.</w:t>
      </w:r>
      <w:r w:rsidR="004C35CF" w:rsidRPr="0032050F">
        <w:rPr>
          <w:rFonts w:ascii="Arial" w:hAnsi="Arial" w:cs="Arial"/>
          <w:sz w:val="20"/>
          <w:szCs w:val="20"/>
          <w:lang w:val="sr-Cyrl-RS"/>
        </w:rPr>
        <w:t xml:space="preserve"> г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одине у </w:t>
      </w:r>
      <w:r w:rsidR="004C35CF" w:rsidRPr="0032050F">
        <w:rPr>
          <w:rFonts w:ascii="Arial" w:hAnsi="Arial" w:cs="Arial"/>
          <w:b/>
          <w:sz w:val="20"/>
          <w:szCs w:val="20"/>
          <w:lang w:val="sr-Cyrl-CS"/>
        </w:rPr>
        <w:t>11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:</w:t>
      </w:r>
      <w:r w:rsidR="004C35CF" w:rsidRPr="0032050F">
        <w:rPr>
          <w:rFonts w:ascii="Arial" w:hAnsi="Arial" w:cs="Arial"/>
          <w:b/>
          <w:sz w:val="20"/>
          <w:szCs w:val="20"/>
          <w:lang w:val="sr-Cyrl-CS"/>
        </w:rPr>
        <w:t>00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часова на адреси: Агенција за лиценцирање стечајних управника, Београд, Теразије бр. 23, III спрат, сала  301.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lastRenderedPageBreak/>
        <w:t>Регистрација учесника почиње два сата пре почетка јавног надметања</w:t>
      </w:r>
      <w:r w:rsidR="0032050F">
        <w:rPr>
          <w:rFonts w:ascii="Arial" w:hAnsi="Arial" w:cs="Arial"/>
          <w:sz w:val="20"/>
          <w:szCs w:val="20"/>
          <w:lang w:val="sr-Cyrl-CS"/>
        </w:rPr>
        <w:t>,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а завршава се 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 xml:space="preserve">10 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минута пре почетка јавног надметања, односно у периоду од 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9:00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до </w:t>
      </w:r>
      <w:r w:rsidRPr="0032050F">
        <w:rPr>
          <w:rFonts w:ascii="Arial" w:hAnsi="Arial" w:cs="Arial"/>
          <w:b/>
          <w:sz w:val="20"/>
          <w:szCs w:val="20"/>
          <w:lang w:val="sr-Cyrl-CS"/>
        </w:rPr>
        <w:t>10:50</w:t>
      </w:r>
      <w:r w:rsidRPr="0032050F">
        <w:rPr>
          <w:rFonts w:ascii="Arial" w:hAnsi="Arial" w:cs="Arial"/>
          <w:sz w:val="20"/>
          <w:szCs w:val="20"/>
          <w:lang w:val="sr-Cyrl-CS"/>
        </w:rPr>
        <w:t xml:space="preserve"> часова, на истој адреси.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3571D4" w:rsidRPr="0032050F" w:rsidRDefault="003571D4" w:rsidP="003571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3571D4" w:rsidRPr="0032050F" w:rsidRDefault="003571D4" w:rsidP="003571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отвара јавно надметање читајући правила надметања,</w:t>
      </w:r>
    </w:p>
    <w:p w:rsidR="003571D4" w:rsidRPr="0032050F" w:rsidRDefault="003571D4" w:rsidP="003571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позива учеснике да истакну понуду на оглашену цену, коју су спремни да плате,</w:t>
      </w:r>
    </w:p>
    <w:p w:rsidR="003571D4" w:rsidRPr="0032050F" w:rsidRDefault="003571D4" w:rsidP="003571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одржава ред на јавном надметању,</w:t>
      </w:r>
    </w:p>
    <w:p w:rsidR="003571D4" w:rsidRPr="0032050F" w:rsidRDefault="003571D4" w:rsidP="003571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3571D4" w:rsidRPr="0032050F" w:rsidRDefault="003571D4" w:rsidP="003571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потписује записник.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610FA9">
        <w:rPr>
          <w:rFonts w:ascii="Arial" w:hAnsi="Arial" w:cs="Arial"/>
          <w:sz w:val="20"/>
          <w:szCs w:val="20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610FA9">
        <w:rPr>
          <w:rFonts w:ascii="Arial" w:hAnsi="Arial" w:cs="Arial"/>
          <w:b/>
          <w:sz w:val="20"/>
          <w:szCs w:val="20"/>
          <w:lang w:val="sr-Cyrl-CS"/>
        </w:rPr>
        <w:t>два радна дана</w:t>
      </w:r>
      <w:r w:rsidRPr="00610FA9">
        <w:rPr>
          <w:rFonts w:ascii="Arial" w:hAnsi="Arial" w:cs="Arial"/>
          <w:sz w:val="20"/>
          <w:szCs w:val="20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</w:t>
      </w:r>
      <w:r w:rsidRPr="00610FA9">
        <w:rPr>
          <w:rFonts w:ascii="Arial" w:hAnsi="Arial" w:cs="Arial"/>
          <w:sz w:val="20"/>
          <w:szCs w:val="20"/>
          <w:lang w:val="sr-Latn-CS"/>
        </w:rPr>
        <w:t>.</w:t>
      </w: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10FA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10FA9">
        <w:rPr>
          <w:rFonts w:ascii="Arial" w:hAnsi="Arial" w:cs="Arial"/>
          <w:sz w:val="20"/>
          <w:szCs w:val="20"/>
          <w:lang w:val="sr-Cyrl-CS"/>
        </w:rPr>
        <w:t xml:space="preserve">Закључењу </w:t>
      </w:r>
      <w:r w:rsidR="0032050F" w:rsidRPr="0032050F">
        <w:rPr>
          <w:rFonts w:ascii="Arial" w:hAnsi="Arial" w:cs="Arial"/>
          <w:sz w:val="20"/>
          <w:szCs w:val="20"/>
          <w:lang w:val="sr-Cyrl-CS"/>
        </w:rPr>
        <w:t xml:space="preserve">купопродајног </w:t>
      </w:r>
      <w:r w:rsidRPr="00610FA9">
        <w:rPr>
          <w:rFonts w:ascii="Arial" w:hAnsi="Arial" w:cs="Arial"/>
          <w:sz w:val="20"/>
          <w:szCs w:val="20"/>
          <w:lang w:val="sr-Cyrl-CS"/>
        </w:rPr>
        <w:t xml:space="preserve">уговора приступа се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610FA9">
        <w:rPr>
          <w:rFonts w:ascii="Arial" w:hAnsi="Arial" w:cs="Arial"/>
          <w:b/>
          <w:sz w:val="20"/>
          <w:szCs w:val="20"/>
          <w:lang w:val="sr-Cyrl-CS"/>
        </w:rPr>
        <w:t>8 дана</w:t>
      </w:r>
      <w:r w:rsidRPr="00610FA9">
        <w:rPr>
          <w:rFonts w:ascii="Arial" w:hAnsi="Arial" w:cs="Arial"/>
          <w:sz w:val="20"/>
          <w:szCs w:val="20"/>
          <w:lang w:val="sr-Cyrl-CS"/>
        </w:rPr>
        <w:t xml:space="preserve"> од дана потписивања уговора</w:t>
      </w:r>
      <w:r w:rsidR="0032050F" w:rsidRPr="0032050F">
        <w:rPr>
          <w:rFonts w:ascii="Arial" w:hAnsi="Arial" w:cs="Arial"/>
          <w:sz w:val="20"/>
          <w:szCs w:val="20"/>
          <w:lang w:val="sr-Cyrl-CS"/>
        </w:rPr>
        <w:t>.</w:t>
      </w:r>
      <w:r w:rsidRPr="00610FA9">
        <w:rPr>
          <w:rFonts w:ascii="Arial" w:hAnsi="Arial" w:cs="Arial"/>
          <w:sz w:val="20"/>
          <w:szCs w:val="20"/>
          <w:lang w:val="sr-Cyrl-CS"/>
        </w:rPr>
        <w:t xml:space="preserve">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610FA9">
        <w:rPr>
          <w:rFonts w:ascii="Arial" w:hAnsi="Arial" w:cs="Arial"/>
          <w:sz w:val="20"/>
          <w:szCs w:val="20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610FA9">
        <w:rPr>
          <w:rFonts w:ascii="Arial" w:hAnsi="Arial" w:cs="Arial"/>
          <w:sz w:val="20"/>
          <w:szCs w:val="20"/>
        </w:rPr>
        <w:t>.</w:t>
      </w:r>
      <w:r w:rsidRPr="00610FA9">
        <w:rPr>
          <w:rFonts w:ascii="Arial" w:hAnsi="Arial" w:cs="Arial"/>
          <w:sz w:val="20"/>
          <w:szCs w:val="20"/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10FA9">
        <w:rPr>
          <w:rFonts w:ascii="Arial" w:hAnsi="Arial" w:cs="Arial"/>
          <w:sz w:val="20"/>
          <w:szCs w:val="20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610FA9">
        <w:rPr>
          <w:rFonts w:ascii="Arial" w:hAnsi="Arial" w:cs="Arial"/>
          <w:b/>
          <w:sz w:val="20"/>
          <w:szCs w:val="20"/>
          <w:lang w:val="sr-Cyrl-CS"/>
        </w:rPr>
        <w:t>8 дана</w:t>
      </w:r>
      <w:r w:rsidRPr="00610FA9">
        <w:rPr>
          <w:rFonts w:ascii="Arial" w:hAnsi="Arial" w:cs="Arial"/>
          <w:sz w:val="20"/>
          <w:szCs w:val="20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 </w:t>
      </w:r>
    </w:p>
    <w:p w:rsidR="00610FA9" w:rsidRPr="00610FA9" w:rsidRDefault="00610FA9" w:rsidP="00610FA9">
      <w:pPr>
        <w:jc w:val="both"/>
        <w:rPr>
          <w:rFonts w:ascii="Arial" w:hAnsi="Arial" w:cs="Arial"/>
          <w:sz w:val="20"/>
          <w:szCs w:val="20"/>
        </w:rPr>
      </w:pPr>
    </w:p>
    <w:p w:rsidR="00610FA9" w:rsidRPr="0032050F" w:rsidRDefault="00610FA9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10FA9">
        <w:rPr>
          <w:rFonts w:ascii="Arial" w:hAnsi="Arial" w:cs="Arial"/>
          <w:sz w:val="20"/>
          <w:szCs w:val="20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32050F" w:rsidRPr="0032050F" w:rsidRDefault="0032050F" w:rsidP="00610FA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2050F" w:rsidRPr="0032050F" w:rsidRDefault="0032050F" w:rsidP="0032050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Напомена: Није дозвољено достављање оригинала банкарске гаранције вршити пошиљком (обичном или препорученом), путем факса, mail-а или на други начин, осим на начин прописан у тачки 2. услова за стицање права за учешће из овог огласа.</w:t>
      </w:r>
    </w:p>
    <w:p w:rsidR="003571D4" w:rsidRPr="0032050F" w:rsidRDefault="003571D4" w:rsidP="003571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348FC" w:rsidRPr="0032050F" w:rsidRDefault="003571D4" w:rsidP="003571D4">
      <w:pPr>
        <w:rPr>
          <w:rFonts w:ascii="Arial" w:hAnsi="Arial" w:cs="Arial"/>
          <w:sz w:val="20"/>
          <w:szCs w:val="20"/>
          <w:lang w:val="sr-Cyrl-CS"/>
        </w:rPr>
      </w:pPr>
      <w:r w:rsidRPr="0032050F">
        <w:rPr>
          <w:rFonts w:ascii="Arial" w:hAnsi="Arial" w:cs="Arial"/>
          <w:sz w:val="20"/>
          <w:szCs w:val="20"/>
          <w:lang w:val="sr-Cyrl-CS"/>
        </w:rPr>
        <w:t>Oвлашћено лице: Повереник Слободан Томић, контакт телефон: 011/2790-150, 063/8380-324</w:t>
      </w:r>
    </w:p>
    <w:sectPr w:rsidR="008348FC" w:rsidRPr="0032050F" w:rsidSect="006F074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91346D"/>
    <w:multiLevelType w:val="multilevel"/>
    <w:tmpl w:val="3886C4C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Ansi="Tahoma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1D4"/>
    <w:rsid w:val="0000096E"/>
    <w:rsid w:val="00003CDE"/>
    <w:rsid w:val="00016BB3"/>
    <w:rsid w:val="000E2291"/>
    <w:rsid w:val="001B3AF2"/>
    <w:rsid w:val="002752C9"/>
    <w:rsid w:val="002F7B0E"/>
    <w:rsid w:val="0032050F"/>
    <w:rsid w:val="003343A5"/>
    <w:rsid w:val="0033595A"/>
    <w:rsid w:val="003571D4"/>
    <w:rsid w:val="003800B4"/>
    <w:rsid w:val="004532B0"/>
    <w:rsid w:val="00482C36"/>
    <w:rsid w:val="004900D4"/>
    <w:rsid w:val="004C35CF"/>
    <w:rsid w:val="004F770D"/>
    <w:rsid w:val="005A4E84"/>
    <w:rsid w:val="005E6CA1"/>
    <w:rsid w:val="005F5C88"/>
    <w:rsid w:val="00610FA9"/>
    <w:rsid w:val="006F03BA"/>
    <w:rsid w:val="006F0747"/>
    <w:rsid w:val="007B6D75"/>
    <w:rsid w:val="007C395B"/>
    <w:rsid w:val="008348FC"/>
    <w:rsid w:val="00934A2A"/>
    <w:rsid w:val="009A31B2"/>
    <w:rsid w:val="00AE0087"/>
    <w:rsid w:val="00B00588"/>
    <w:rsid w:val="00B54AB3"/>
    <w:rsid w:val="00BA3910"/>
    <w:rsid w:val="00BC49E5"/>
    <w:rsid w:val="00C07131"/>
    <w:rsid w:val="00C7646B"/>
    <w:rsid w:val="00C91403"/>
    <w:rsid w:val="00E441B5"/>
    <w:rsid w:val="00EB32E0"/>
    <w:rsid w:val="00E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0DA"/>
  <w15:docId w15:val="{F50EF721-CC68-4132-AC83-871614D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BB. Bogicevic</cp:lastModifiedBy>
  <cp:revision>31</cp:revision>
  <dcterms:created xsi:type="dcterms:W3CDTF">2017-02-13T12:45:00Z</dcterms:created>
  <dcterms:modified xsi:type="dcterms:W3CDTF">2017-06-22T08:00:00Z</dcterms:modified>
</cp:coreProperties>
</file>